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714B" w14:textId="77777777" w:rsidR="00562993" w:rsidRPr="009D4627" w:rsidRDefault="001A2282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b/>
          <w:sz w:val="10"/>
          <w:szCs w:val="10"/>
          <w:lang w:eastAsia="ru-RU"/>
        </w:rPr>
        <w:t>-</w:t>
      </w:r>
      <w:r w:rsidR="0056299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6BB76C3" wp14:editId="10C82009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F64D" w14:textId="77777777" w:rsidR="00806E92" w:rsidRDefault="00806E92" w:rsidP="00CB12BA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14:paraId="7560E0AE" w14:textId="77777777" w:rsidR="00562993" w:rsidRPr="00562993" w:rsidRDefault="00806E92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</w:p>
    <w:p w14:paraId="20986507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11689417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7405E1F6" w14:textId="6CB20562" w:rsidR="00562993" w:rsidRPr="00562993" w:rsidRDefault="00562993" w:rsidP="00F66A8C">
      <w:pPr>
        <w:spacing w:after="0" w:line="240" w:lineRule="auto"/>
        <w:ind w:left="34" w:right="136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>Настоящим заявля</w:t>
      </w:r>
      <w:r w:rsidR="009711C9">
        <w:rPr>
          <w:rFonts w:eastAsia="Times New Roman" w:cs="Times New Roman"/>
          <w:bCs/>
          <w:sz w:val="20"/>
          <w:szCs w:val="20"/>
          <w:lang w:eastAsia="ru-RU"/>
        </w:rPr>
        <w:t>ет</w:t>
      </w: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 о </w:t>
      </w:r>
    </w:p>
    <w:p w14:paraId="20BA8FA2" w14:textId="77777777" w:rsidR="00562993" w:rsidRPr="00562993" w:rsidRDefault="00562993" w:rsidP="00F66A8C">
      <w:pPr>
        <w:spacing w:before="120" w:after="120" w:line="240" w:lineRule="auto"/>
        <w:ind w:left="34" w:right="137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14:paraId="153E2F58" w14:textId="51A6973B" w:rsidR="00562993" w:rsidRPr="00562993" w:rsidRDefault="00562993" w:rsidP="00F877C4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Соглашение о брокерском обслуживании 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="00765426" w:rsidRPr="00F877C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765426">
        <w:rPr>
          <w:rStyle w:val="af"/>
          <w:rFonts w:eastAsia="Times New Roman" w:cs="Times New Roman"/>
          <w:sz w:val="18"/>
          <w:szCs w:val="18"/>
          <w:lang w:val="en-US" w:eastAsia="ru-RU"/>
        </w:rPr>
        <w:footnoteReference w:id="2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14:paraId="0DAAFCB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397492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14:paraId="73AEBA38" w14:textId="77777777"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14:paraId="112AF533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380D6CEF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7618EAA2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E4462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34EE3294" w14:textId="77777777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311716A2" w14:textId="77777777" w:rsidR="00B3507A" w:rsidRPr="00562993" w:rsidRDefault="00B3507A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5DCC0789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774A05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В соответствии с Регламентом, в случае ненаправления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6DD282A1" w14:textId="77777777"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14:paraId="3FEA4E67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 w:rsidR="007C0EAC">
        <w:rPr>
          <w:rFonts w:eastAsia="Times New Roman" w:cs="Times New Roman"/>
          <w:b/>
          <w:sz w:val="17"/>
          <w:szCs w:val="17"/>
          <w:lang w:eastAsia="ru-RU"/>
        </w:rPr>
        <w:t>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3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14:paraId="1ACE9F42" w14:textId="36D2D33A" w:rsidR="00E44626" w:rsidRPr="00F877C4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030FD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030FD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030FD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9030F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Фондовом рынке</w:t>
      </w:r>
    </w:p>
    <w:p w14:paraId="03C078A7" w14:textId="43E17CE7" w:rsidR="00E44626" w:rsidRPr="00C520E7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</w:p>
    <w:p w14:paraId="3E8C86DC" w14:textId="6F0537F5" w:rsidR="00C520E7" w:rsidRPr="003D1468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в режиме РЕПО с Центральным контрагентом на Фондовом рынке</w:t>
      </w:r>
    </w:p>
    <w:p w14:paraId="00B035B2" w14:textId="6391488D" w:rsidR="00E44626" w:rsidRPr="00C520E7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рынке иностранных ценных бумаг (ПАО Санкт-Петербургская биржа)</w:t>
      </w:r>
    </w:p>
    <w:p w14:paraId="22FA579E" w14:textId="77777777" w:rsidR="00C520E7" w:rsidRPr="00042B28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</w:t>
      </w:r>
      <w:r>
        <w:rPr>
          <w:rFonts w:eastAsia="Times New Roman" w:cs="Times New Roman"/>
          <w:sz w:val="17"/>
          <w:szCs w:val="17"/>
          <w:lang w:eastAsia="ru-RU"/>
        </w:rPr>
        <w:t>небиржевом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рынке</w:t>
      </w:r>
    </w:p>
    <w:p w14:paraId="79001918" w14:textId="77777777" w:rsidR="00C520E7" w:rsidRPr="00C520E7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РЕПО на Внебиржевом рынке</w:t>
      </w:r>
    </w:p>
    <w:p w14:paraId="03089BE6" w14:textId="65640BEB" w:rsidR="00562993" w:rsidRPr="00562993" w:rsidRDefault="00E44626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В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>алютн</w:t>
      </w:r>
      <w:r>
        <w:rPr>
          <w:rFonts w:eastAsia="Times New Roman" w:cs="Times New Roman"/>
          <w:sz w:val="17"/>
          <w:szCs w:val="17"/>
          <w:lang w:eastAsia="ru-RU"/>
        </w:rPr>
        <w:t>ом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>
        <w:rPr>
          <w:rFonts w:eastAsia="Times New Roman" w:cs="Times New Roman"/>
          <w:sz w:val="17"/>
          <w:szCs w:val="17"/>
          <w:lang w:eastAsia="ru-RU"/>
        </w:rPr>
        <w:t>е (для Управляющих компаний и Субброкеров)</w:t>
      </w:r>
    </w:p>
    <w:p w14:paraId="5D2DBD4A" w14:textId="58A9A68D" w:rsidR="0018272C" w:rsidRPr="0018272C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Ср</w:t>
      </w:r>
      <w:r w:rsidRPr="00562993">
        <w:rPr>
          <w:rFonts w:eastAsia="Times New Roman" w:cs="Times New Roman"/>
          <w:sz w:val="17"/>
          <w:szCs w:val="17"/>
          <w:lang w:eastAsia="ru-RU"/>
        </w:rPr>
        <w:t>очн</w:t>
      </w:r>
      <w:r w:rsidR="00E44626">
        <w:rPr>
          <w:rFonts w:eastAsia="Times New Roman" w:cs="Times New Roman"/>
          <w:sz w:val="17"/>
          <w:szCs w:val="17"/>
          <w:lang w:eastAsia="ru-RU"/>
        </w:rPr>
        <w:t>ом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е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 (для Управляющих компаний и Субброкеров)</w:t>
      </w:r>
    </w:p>
    <w:p w14:paraId="3EC3B84B" w14:textId="39874FAF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976EC2" w:rsidRPr="00A13465">
        <w:rPr>
          <w:sz w:val="22"/>
        </w:rPr>
        <w:t xml:space="preserve"> </w:t>
      </w:r>
      <w:r w:rsidR="00E44626" w:rsidRPr="00F877C4">
        <w:rPr>
          <w:rFonts w:eastAsia="Times New Roman" w:cs="Times New Roman"/>
          <w:sz w:val="17"/>
          <w:szCs w:val="17"/>
          <w:lang w:eastAsia="ru-RU"/>
        </w:rPr>
        <w:t xml:space="preserve">Сделки по </w:t>
      </w:r>
      <w:r w:rsidR="00E44626">
        <w:rPr>
          <w:rFonts w:eastAsia="Times New Roman" w:cs="Times New Roman"/>
          <w:sz w:val="17"/>
          <w:szCs w:val="17"/>
          <w:lang w:eastAsia="ru-RU"/>
        </w:rPr>
        <w:t>р</w:t>
      </w:r>
      <w:r w:rsidRPr="00562993">
        <w:rPr>
          <w:rFonts w:eastAsia="Times New Roman" w:cs="Times New Roman"/>
          <w:sz w:val="17"/>
          <w:szCs w:val="17"/>
          <w:lang w:eastAsia="ru-RU"/>
        </w:rPr>
        <w:t>азмещени</w:t>
      </w:r>
      <w:r w:rsidR="00E44626">
        <w:rPr>
          <w:rFonts w:eastAsia="Times New Roman" w:cs="Times New Roman"/>
          <w:sz w:val="17"/>
          <w:szCs w:val="17"/>
          <w:lang w:eastAsia="ru-RU"/>
        </w:rPr>
        <w:t>ю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/ выкуп</w:t>
      </w:r>
      <w:r w:rsidR="00E44626">
        <w:rPr>
          <w:rFonts w:eastAsia="Times New Roman" w:cs="Times New Roman"/>
          <w:sz w:val="17"/>
          <w:szCs w:val="17"/>
          <w:lang w:eastAsia="ru-RU"/>
        </w:rPr>
        <w:t>у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(оферта)  ценных бумаг Клиента (</w:t>
      </w:r>
      <w:r w:rsidR="00A13465">
        <w:rPr>
          <w:rFonts w:eastAsia="Times New Roman" w:cs="Times New Roman"/>
          <w:sz w:val="17"/>
          <w:szCs w:val="17"/>
          <w:lang w:eastAsia="ru-RU"/>
        </w:rPr>
        <w:t xml:space="preserve">для </w:t>
      </w:r>
      <w:r w:rsidRPr="00562993">
        <w:rPr>
          <w:rFonts w:eastAsia="Times New Roman" w:cs="Times New Roman"/>
          <w:sz w:val="17"/>
          <w:szCs w:val="17"/>
          <w:lang w:eastAsia="ru-RU"/>
        </w:rPr>
        <w:t>Эмитент</w:t>
      </w:r>
      <w:r w:rsidR="00A13465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</w:p>
    <w:p w14:paraId="7581EB1C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14259785" w14:textId="77777777" w:rsidR="00130D83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705212"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 инвестора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14:paraId="01329705" w14:textId="77777777" w:rsidR="00FE6A16" w:rsidRPr="00130D83" w:rsidRDefault="00130D83" w:rsidP="00130D83">
      <w:pPr>
        <w:pStyle w:val="af2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14:paraId="0CD85C28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63542CFE" w14:textId="77777777" w:rsidR="00562993" w:rsidRPr="00562993" w:rsidRDefault="00562993" w:rsidP="00F66A8C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14:paraId="2F4EF609" w14:textId="77777777" w:rsidR="00F7179E" w:rsidRPr="000301C6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="00BE480A" w:rsidRPr="00F66A8C">
        <w:rPr>
          <w:sz w:val="17"/>
          <w:lang w:val="en-US"/>
        </w:rPr>
        <w:t>a</w:t>
      </w:r>
      <w:r w:rsidR="00BE480A" w:rsidRPr="00F66A8C">
        <w:rPr>
          <w:sz w:val="17"/>
        </w:rPr>
        <w:t>.</w:t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0301C6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</w:p>
    <w:p w14:paraId="03418CB1" w14:textId="77777777" w:rsidR="00F7179E" w:rsidRPr="00D27322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CB12BA">
        <w:rPr>
          <w:sz w:val="22"/>
          <w:lang w:val="en-US"/>
        </w:rPr>
        <w:instrText>FORMCHECKBOX</w:instrText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27322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="00477F10" w:rsidRPr="00477F10">
        <w:rPr>
          <w:sz w:val="17"/>
          <w:lang w:val="en-US"/>
        </w:rPr>
        <w:t>b</w:t>
      </w:r>
      <w:r w:rsidRPr="00B70E0C">
        <w:rPr>
          <w:sz w:val="17"/>
          <w:lang w:val="en-US"/>
        </w:rPr>
        <w:t xml:space="preserve">. </w:t>
      </w:r>
      <w:r w:rsidRPr="004523D5">
        <w:rPr>
          <w:sz w:val="17"/>
          <w:lang w:val="en-US"/>
        </w:rPr>
        <w:t>iQUIK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4523D5">
        <w:rPr>
          <w:sz w:val="17"/>
          <w:lang w:val="en-US"/>
        </w:rPr>
        <w:t>HD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4523D5">
        <w:rPr>
          <w:sz w:val="17"/>
          <w:lang w:val="en-US"/>
        </w:rPr>
        <w:t>iPad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  <w:t xml:space="preserve">             </w:t>
      </w:r>
    </w:p>
    <w:p w14:paraId="04BF187A" w14:textId="77777777" w:rsidR="0096151B" w:rsidRDefault="00CE1B69" w:rsidP="00D27322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477F10" w:rsidRPr="00477F10">
        <w:rPr>
          <w:sz w:val="17"/>
          <w:lang w:val="en-US"/>
        </w:rPr>
        <w:t>c</w:t>
      </w:r>
      <w:r w:rsidRPr="00CB12BA">
        <w:rPr>
          <w:sz w:val="17"/>
        </w:rPr>
        <w:t>.</w:t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4523D5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F66A8C">
        <w:rPr>
          <w:rFonts w:eastAsia="Times New Roman" w:cs="Times New Roman"/>
          <w:bCs/>
          <w:sz w:val="17"/>
          <w:szCs w:val="17"/>
          <w:lang w:val="en-US" w:eastAsia="ru-RU"/>
        </w:rPr>
        <w:t>iPhone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321AC050" w14:textId="77777777" w:rsidR="00DA7214" w:rsidRPr="00480E15" w:rsidRDefault="00DA7214" w:rsidP="00DA7214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.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(для мобильных устройств на платформе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781E841B" w14:textId="77777777" w:rsidR="00477F10" w:rsidRPr="009B1427" w:rsidRDefault="00477F10" w:rsidP="00D27322">
      <w:pPr>
        <w:spacing w:after="0" w:line="240" w:lineRule="auto"/>
        <w:ind w:firstLine="0"/>
        <w:jc w:val="left"/>
        <w:rPr>
          <w:b/>
          <w:sz w:val="17"/>
        </w:rPr>
      </w:pPr>
    </w:p>
    <w:p w14:paraId="45BEFB97" w14:textId="77777777"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4AC6AC64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14:paraId="42D05EAE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14:paraId="4ECD17B2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14:paraId="2D12E36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«Субброкер»</w:t>
      </w:r>
    </w:p>
    <w:p w14:paraId="48A9C04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lang w:eastAsia="ru-RU"/>
        </w:rPr>
      </w:r>
      <w:r w:rsidR="00700CC5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14:paraId="33432F6D" w14:textId="77777777" w:rsidR="00474793" w:rsidRDefault="00562993" w:rsidP="0094064F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lang w:eastAsia="ru-RU"/>
        </w:rPr>
      </w:r>
      <w:r w:rsidR="00700CC5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«Активный» в отношении следующих Инвестиционных счетов:</w:t>
      </w:r>
    </w:p>
    <w:p w14:paraId="337F403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</w:t>
      </w:r>
    </w:p>
    <w:p w14:paraId="33CE583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17"/>
          <w:szCs w:val="17"/>
          <w:lang w:eastAsia="ru-RU"/>
        </w:rPr>
      </w:r>
      <w:r w:rsidR="00700CC5">
        <w:rPr>
          <w:rFonts w:eastAsia="Times New Roman" w:cs="Times New Roman"/>
          <w:sz w:val="17"/>
          <w:szCs w:val="17"/>
          <w:lang w:eastAsia="ru-RU"/>
        </w:rPr>
        <w:fldChar w:fldCharType="separate"/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«Фиксированный – паи»</w:t>
      </w:r>
    </w:p>
    <w:p w14:paraId="0E1BFE18" w14:textId="77777777" w:rsidR="00562993" w:rsidRPr="00CB12BA" w:rsidRDefault="00562993" w:rsidP="00CB12BA">
      <w:pPr>
        <w:spacing w:after="0" w:line="240" w:lineRule="auto"/>
        <w:ind w:right="281" w:firstLine="0"/>
        <w:rPr>
          <w:sz w:val="16"/>
        </w:rPr>
      </w:pPr>
    </w:p>
    <w:p w14:paraId="62EFA1B4" w14:textId="77777777"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lastRenderedPageBreak/>
        <w:t xml:space="preserve">Прочие условия </w:t>
      </w:r>
    </w:p>
    <w:p w14:paraId="1E1B5F11" w14:textId="77777777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</w:t>
      </w:r>
    </w:p>
    <w:p w14:paraId="1B1ADF80" w14:textId="1708ADB1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</w:t>
      </w:r>
      <w:r w:rsidR="00663966">
        <w:rPr>
          <w:rFonts w:eastAsia="Times New Roman" w:cs="Times New Roman"/>
          <w:sz w:val="17"/>
          <w:szCs w:val="17"/>
          <w:lang w:eastAsia="ru-RU"/>
        </w:rPr>
        <w:t xml:space="preserve"> Фондовом рынке ПАО Московская биржа</w:t>
      </w:r>
    </w:p>
    <w:p w14:paraId="70FD008C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</w:t>
      </w:r>
    </w:p>
    <w:p w14:paraId="350AECE7" w14:textId="77777777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14:paraId="7F2F1F13" w14:textId="77777777" w:rsidR="003525ED" w:rsidRPr="00F877C4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4DC80ED8" w14:textId="77777777" w:rsidR="00663966" w:rsidRDefault="00663966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Прошу не осуществлять подключение</w:t>
      </w:r>
      <w:r w:rsidR="00317733">
        <w:rPr>
          <w:rFonts w:eastAsia="Times New Roman" w:cs="Times New Roman"/>
          <w:sz w:val="17"/>
          <w:szCs w:val="17"/>
          <w:lang w:eastAsia="ru-RU"/>
        </w:rPr>
        <w:t xml:space="preserve"> к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 xml:space="preserve"> торгам</w:t>
      </w:r>
      <w:r w:rsidR="00460F88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 xml:space="preserve"> на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вечерней сессии на Фондовом рынке ПАО Московская биржа</w:t>
      </w:r>
    </w:p>
    <w:p w14:paraId="0EEE4086" w14:textId="77777777" w:rsidR="00487167" w:rsidRDefault="00487167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отчеты </w:t>
      </w:r>
      <w:r w:rsidR="00B204EA"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F877C4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652E162A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14:paraId="34154005" w14:textId="7237A1A1" w:rsidR="00562993" w:rsidRPr="00562993" w:rsidRDefault="00562993" w:rsidP="004523D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 xml:space="preserve"> клиент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подтвержда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ет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факт ознакомления со следующими документами, в т.ч.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ет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обязательность их применения к отношениям в рамках Соглашения. Содержание данных документов 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клиенту</w:t>
      </w:r>
      <w:r w:rsidR="009711C9"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понятно. 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Клиент 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созна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ет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и принимает на себя риски, изложенные в следующих документах:</w:t>
      </w:r>
    </w:p>
    <w:p w14:paraId="2E45D5D6" w14:textId="5A86182E" w:rsidR="00562993" w:rsidRPr="00562993" w:rsidRDefault="00562993" w:rsidP="00CB12BA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14:paraId="48293A4C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b/>
          <w:sz w:val="16"/>
        </w:rPr>
      </w:pPr>
    </w:p>
    <w:p w14:paraId="70AE615B" w14:textId="5B408736"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 xml:space="preserve">клиент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подтвержда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ет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подачу всех Длящихся поручений, предусмотренных Регламентом, на условиях, изложенных в Регламенте.</w:t>
      </w:r>
    </w:p>
    <w:p w14:paraId="18B830DB" w14:textId="5F61B5C9" w:rsidR="00663966" w:rsidRPr="00562993" w:rsidRDefault="00663966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14:paraId="738807BA" w14:textId="77777777" w:rsidTr="00052E2C">
        <w:trPr>
          <w:trHeight w:val="216"/>
        </w:trPr>
        <w:tc>
          <w:tcPr>
            <w:tcW w:w="6629" w:type="dxa"/>
            <w:shd w:val="clear" w:color="auto" w:fill="auto"/>
          </w:tcPr>
          <w:p w14:paraId="6D370A03" w14:textId="77777777" w:rsidR="00562993" w:rsidRPr="00562993" w:rsidRDefault="00562993" w:rsidP="004523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14:paraId="449D677A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00CC5">
        <w:rPr>
          <w:rFonts w:eastAsia="Times New Roman" w:cs="Times New Roman"/>
          <w:sz w:val="22"/>
          <w:szCs w:val="24"/>
          <w:lang w:eastAsia="ru-RU"/>
        </w:rPr>
      </w:r>
      <w:r w:rsidR="00700CC5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14:paraId="6597855D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b/>
          <w:sz w:val="16"/>
        </w:rPr>
      </w:pPr>
    </w:p>
    <w:p w14:paraId="23EADD0B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14:paraId="042EB8F4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0F7A26D6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14:paraId="5C308A13" w14:textId="3640968F"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</w:p>
    <w:p w14:paraId="4D2DECCB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14:paraId="75E2052E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14:paraId="29CB3D15" w14:textId="77777777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14:paraId="7AEDA2F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0991648D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14:paraId="44F2538B" w14:textId="77777777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4F3098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12AAE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8F165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8421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EB972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12EBF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14:paraId="74312815" w14:textId="77777777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14:paraId="1F7BD0E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D8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3D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A7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0E2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5EC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4EF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57930BBC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F360F4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17F3EFEE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48439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355F8A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1CDBB2C7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3664D97" w14:textId="77777777" w:rsidR="00BE6A68" w:rsidRDefault="00562993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</w:t>
      </w:r>
      <w:bookmarkStart w:id="0" w:name="_GoBack"/>
      <w:bookmarkEnd w:id="0"/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е о брокерском обслуживании №_________________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 20__г.</w:t>
      </w:r>
    </w:p>
    <w:sectPr w:rsidR="00BE6A68" w:rsidSect="00931C92">
      <w:headerReference w:type="default" r:id="rId9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C1A8C" w14:textId="77777777" w:rsidR="00D44B51" w:rsidRDefault="00D44B51">
      <w:pPr>
        <w:spacing w:after="0" w:line="240" w:lineRule="auto"/>
      </w:pPr>
      <w:r>
        <w:separator/>
      </w:r>
    </w:p>
  </w:endnote>
  <w:endnote w:type="continuationSeparator" w:id="0">
    <w:p w14:paraId="3DF332C6" w14:textId="77777777" w:rsidR="00D44B51" w:rsidRDefault="00D44B51">
      <w:pPr>
        <w:spacing w:after="0" w:line="240" w:lineRule="auto"/>
      </w:pPr>
      <w:r>
        <w:continuationSeparator/>
      </w:r>
    </w:p>
  </w:endnote>
  <w:endnote w:type="continuationNotice" w:id="1">
    <w:p w14:paraId="4514C2CF" w14:textId="77777777" w:rsidR="00D44B51" w:rsidRDefault="00D44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FC7E1" w14:textId="77777777" w:rsidR="00D44B51" w:rsidRDefault="00D44B51">
      <w:pPr>
        <w:spacing w:after="0" w:line="240" w:lineRule="auto"/>
      </w:pPr>
      <w:r>
        <w:separator/>
      </w:r>
    </w:p>
  </w:footnote>
  <w:footnote w:type="continuationSeparator" w:id="0">
    <w:p w14:paraId="5DB8C50B" w14:textId="77777777" w:rsidR="00D44B51" w:rsidRDefault="00D44B51">
      <w:pPr>
        <w:spacing w:after="0" w:line="240" w:lineRule="auto"/>
      </w:pPr>
      <w:r>
        <w:continuationSeparator/>
      </w:r>
    </w:p>
  </w:footnote>
  <w:footnote w:type="continuationNotice" w:id="1">
    <w:p w14:paraId="124A2259" w14:textId="77777777" w:rsidR="00D44B51" w:rsidRDefault="00D44B51">
      <w:pPr>
        <w:spacing w:after="0" w:line="240" w:lineRule="auto"/>
      </w:pPr>
    </w:p>
  </w:footnote>
  <w:footnote w:id="2">
    <w:p w14:paraId="47DF2256" w14:textId="77777777" w:rsidR="00765426" w:rsidRPr="00F877C4" w:rsidRDefault="00765426" w:rsidP="00F877C4">
      <w:pPr>
        <w:pStyle w:val="ad"/>
        <w:ind w:firstLine="0"/>
        <w:rPr>
          <w:sz w:val="16"/>
          <w:szCs w:val="16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Номер и дата Соглашения указываются только в случае внесения изменений в ранее заключенное Соглашение.</w:t>
      </w:r>
    </w:p>
  </w:footnote>
  <w:footnote w:id="3">
    <w:p w14:paraId="56351761" w14:textId="44FA8C6C" w:rsidR="009E3ED4" w:rsidRPr="00F877C4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юридическим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98AD" w14:textId="5C1385B9" w:rsidR="00013563" w:rsidRPr="00F721AB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 к Регламенту брокерск</w:t>
    </w:r>
    <w:r w:rsidR="00F721AB">
      <w:rPr>
        <w:b/>
        <w:sz w:val="22"/>
      </w:rPr>
      <w:t>ого обслуживания ООО «БК РЕГИОН»</w:t>
    </w:r>
  </w:p>
  <w:p w14:paraId="1769FC38" w14:textId="77777777" w:rsidR="00013563" w:rsidRDefault="00700C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3"/>
    <w:rsid w:val="000301C6"/>
    <w:rsid w:val="00042B28"/>
    <w:rsid w:val="000518F6"/>
    <w:rsid w:val="00057BB1"/>
    <w:rsid w:val="00066724"/>
    <w:rsid w:val="00130D83"/>
    <w:rsid w:val="0018272C"/>
    <w:rsid w:val="001A2282"/>
    <w:rsid w:val="001F5CF3"/>
    <w:rsid w:val="00254B5C"/>
    <w:rsid w:val="002C5F50"/>
    <w:rsid w:val="003008BB"/>
    <w:rsid w:val="00310C98"/>
    <w:rsid w:val="00317733"/>
    <w:rsid w:val="003230AD"/>
    <w:rsid w:val="003525ED"/>
    <w:rsid w:val="0037285E"/>
    <w:rsid w:val="0039303A"/>
    <w:rsid w:val="00397492"/>
    <w:rsid w:val="003D1468"/>
    <w:rsid w:val="004523D5"/>
    <w:rsid w:val="00460F88"/>
    <w:rsid w:val="00474793"/>
    <w:rsid w:val="00477F10"/>
    <w:rsid w:val="00487167"/>
    <w:rsid w:val="004E4599"/>
    <w:rsid w:val="004F1E4F"/>
    <w:rsid w:val="00562993"/>
    <w:rsid w:val="005726F4"/>
    <w:rsid w:val="005C307E"/>
    <w:rsid w:val="006149E6"/>
    <w:rsid w:val="006510CD"/>
    <w:rsid w:val="00663966"/>
    <w:rsid w:val="00686E36"/>
    <w:rsid w:val="00700CC5"/>
    <w:rsid w:val="00705212"/>
    <w:rsid w:val="007527B5"/>
    <w:rsid w:val="007623D4"/>
    <w:rsid w:val="00765426"/>
    <w:rsid w:val="007777F8"/>
    <w:rsid w:val="007C0EAC"/>
    <w:rsid w:val="00801471"/>
    <w:rsid w:val="00806E92"/>
    <w:rsid w:val="00845280"/>
    <w:rsid w:val="009137C0"/>
    <w:rsid w:val="00931C92"/>
    <w:rsid w:val="0094064F"/>
    <w:rsid w:val="0096151B"/>
    <w:rsid w:val="009711C9"/>
    <w:rsid w:val="009737EF"/>
    <w:rsid w:val="00976EC2"/>
    <w:rsid w:val="00982763"/>
    <w:rsid w:val="009870F8"/>
    <w:rsid w:val="009B1427"/>
    <w:rsid w:val="009D4627"/>
    <w:rsid w:val="009E3ED4"/>
    <w:rsid w:val="00A13465"/>
    <w:rsid w:val="00A755D4"/>
    <w:rsid w:val="00AE1E90"/>
    <w:rsid w:val="00AF5A82"/>
    <w:rsid w:val="00B204EA"/>
    <w:rsid w:val="00B3507A"/>
    <w:rsid w:val="00B46FC2"/>
    <w:rsid w:val="00B477B2"/>
    <w:rsid w:val="00B70E0C"/>
    <w:rsid w:val="00B742E6"/>
    <w:rsid w:val="00B942D6"/>
    <w:rsid w:val="00BD4D18"/>
    <w:rsid w:val="00BE363A"/>
    <w:rsid w:val="00BE480A"/>
    <w:rsid w:val="00BE6A68"/>
    <w:rsid w:val="00C01098"/>
    <w:rsid w:val="00C050B3"/>
    <w:rsid w:val="00C520E7"/>
    <w:rsid w:val="00C60E5E"/>
    <w:rsid w:val="00C73580"/>
    <w:rsid w:val="00CB12BA"/>
    <w:rsid w:val="00CE1B69"/>
    <w:rsid w:val="00D27322"/>
    <w:rsid w:val="00D319BB"/>
    <w:rsid w:val="00D44B51"/>
    <w:rsid w:val="00D608AD"/>
    <w:rsid w:val="00DA7214"/>
    <w:rsid w:val="00E0499B"/>
    <w:rsid w:val="00E2517A"/>
    <w:rsid w:val="00E44626"/>
    <w:rsid w:val="00EC3D4A"/>
    <w:rsid w:val="00F0115A"/>
    <w:rsid w:val="00F46097"/>
    <w:rsid w:val="00F66A8C"/>
    <w:rsid w:val="00F7179E"/>
    <w:rsid w:val="00F721AB"/>
    <w:rsid w:val="00F877C4"/>
    <w:rsid w:val="00FA5859"/>
    <w:rsid w:val="00FD5DF2"/>
    <w:rsid w:val="00FD6CD3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F57D3"/>
  <w15:docId w15:val="{2A6DEA78-B812-4BE3-BF67-C069D09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5A4F-134F-44B1-9D86-8995E150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Сударикова Мария Олеговна</cp:lastModifiedBy>
  <cp:revision>2</cp:revision>
  <dcterms:created xsi:type="dcterms:W3CDTF">2022-03-30T08:25:00Z</dcterms:created>
  <dcterms:modified xsi:type="dcterms:W3CDTF">2022-03-30T08:25:00Z</dcterms:modified>
</cp:coreProperties>
</file>