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BAB00C0" wp14:editId="0A488ECF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6B3A3A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6B3A3A">
        <w:rPr>
          <w:rFonts w:eastAsia="Times New Roman" w:cs="Times New Roman"/>
          <w:sz w:val="17"/>
          <w:szCs w:val="17"/>
          <w:u w:val="single"/>
          <w:lang w:eastAsia="ru-RU"/>
        </w:rPr>
        <w:tab/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1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1B173B" w:rsidRDefault="00F264A7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Фондовый рынок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703FD">
        <w:rPr>
          <w:rFonts w:eastAsia="Times New Roman" w:cs="Times New Roman"/>
          <w:sz w:val="17"/>
          <w:szCs w:val="17"/>
          <w:lang w:eastAsia="ru-RU"/>
        </w:rPr>
        <w:t>(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ПАО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B703FD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Валютный рынок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Срочный рынок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(</w:t>
      </w:r>
      <w:r w:rsidR="00330C62">
        <w:rPr>
          <w:rFonts w:eastAsia="Times New Roman" w:cs="Times New Roman"/>
          <w:sz w:val="17"/>
          <w:szCs w:val="17"/>
          <w:lang w:eastAsia="ru-RU"/>
        </w:rPr>
        <w:t>ПАО</w:t>
      </w:r>
      <w:r w:rsidR="00330C62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711AC7" w:rsidRPr="00562993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57073">
        <w:rPr>
          <w:sz w:val="28"/>
          <w:szCs w:val="28"/>
        </w:rPr>
        <w:sym w:font="Wingdings" w:char="F0FE"/>
      </w:r>
      <w:r w:rsidR="00711AC7">
        <w:rPr>
          <w:rFonts w:eastAsia="Times New Roman" w:cs="Times New Roman"/>
          <w:sz w:val="17"/>
          <w:szCs w:val="17"/>
          <w:lang w:eastAsia="ru-RU"/>
        </w:rPr>
        <w:t xml:space="preserve"> Внебиржевой рынок</w:t>
      </w:r>
    </w:p>
    <w:p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на ПАО Московская биржа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    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         </w:t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FB6BF1">
        <w:rPr>
          <w:rFonts w:eastAsia="Times New Roman" w:cs="Times New Roman"/>
          <w:b/>
          <w:sz w:val="17"/>
          <w:szCs w:val="17"/>
          <w:lang w:eastAsia="ru-RU"/>
        </w:rPr>
      </w:r>
      <w:r w:rsidR="00FB6BF1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ДА             </w:t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FB6BF1">
        <w:rPr>
          <w:rFonts w:eastAsia="Times New Roman" w:cs="Times New Roman"/>
          <w:b/>
          <w:sz w:val="17"/>
          <w:szCs w:val="17"/>
          <w:lang w:eastAsia="ru-RU"/>
        </w:rPr>
      </w:r>
      <w:r w:rsidR="00FB6BF1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 НЕТ</w:t>
      </w:r>
    </w:p>
    <w:p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4073BC" w:rsidRPr="004073BC" w:rsidRDefault="006B3A3A" w:rsidP="008C0426">
      <w:pPr>
        <w:spacing w:after="0" w:line="240" w:lineRule="auto"/>
        <w:ind w:left="360"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341982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562993">
        <w:rPr>
          <w:rFonts w:eastAsia="Times New Roman" w:cs="Times New Roman"/>
          <w:bCs/>
          <w:sz w:val="17"/>
          <w:szCs w:val="17"/>
          <w:lang w:eastAsia="ru-RU"/>
        </w:rPr>
        <w:t>iQUIK</w:t>
      </w:r>
      <w:proofErr w:type="spellEnd"/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(для </w:t>
      </w:r>
      <w:proofErr w:type="spellStart"/>
      <w:r w:rsidRPr="00562993">
        <w:rPr>
          <w:rFonts w:eastAsia="Times New Roman" w:cs="Times New Roman"/>
          <w:bCs/>
          <w:sz w:val="17"/>
          <w:szCs w:val="17"/>
          <w:lang w:eastAsia="ru-RU"/>
        </w:rPr>
        <w:t>iPhone</w:t>
      </w:r>
      <w:proofErr w:type="spellEnd"/>
      <w:r w:rsidRPr="00562993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6B3A3A" w:rsidRPr="004073BC" w:rsidRDefault="006B3A3A" w:rsidP="008C0426">
      <w:pPr>
        <w:spacing w:after="0" w:line="240" w:lineRule="auto"/>
        <w:ind w:left="360"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073B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073B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4073BC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4073BC">
        <w:rPr>
          <w:rFonts w:eastAsia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4073BC">
        <w:rPr>
          <w:rFonts w:eastAsia="Times New Roman" w:cs="Times New Roman"/>
          <w:bCs/>
          <w:sz w:val="17"/>
          <w:szCs w:val="17"/>
          <w:lang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4073BC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4073BC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4073BC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4073BC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4073BC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  <w:r w:rsidR="004073BC"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4073BC"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="004073BC"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4073BC" w:rsidRPr="00F66A8C">
        <w:rPr>
          <w:sz w:val="17"/>
        </w:rPr>
        <w:t xml:space="preserve"> </w:t>
      </w:r>
      <w:r w:rsidR="004073BC">
        <w:rPr>
          <w:sz w:val="17"/>
          <w:lang w:val="en-US"/>
        </w:rPr>
        <w:t>d</w:t>
      </w:r>
      <w:r w:rsidR="004073BC" w:rsidRPr="00F66A8C">
        <w:rPr>
          <w:sz w:val="17"/>
        </w:rPr>
        <w:t xml:space="preserve">. </w:t>
      </w:r>
      <w:r w:rsidR="004073BC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QUIK </w:t>
      </w:r>
      <w:r w:rsidR="004073BC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4073BC" w:rsidRPr="00AE306B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="004073BC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(для </w:t>
      </w:r>
      <w:r w:rsidR="004073BC">
        <w:rPr>
          <w:rFonts w:eastAsia="Times New Roman" w:cs="Times New Roman"/>
          <w:bCs/>
          <w:sz w:val="17"/>
          <w:szCs w:val="17"/>
          <w:lang w:eastAsia="ru-RU"/>
        </w:rPr>
        <w:t xml:space="preserve">мобильных устройств на платформе </w:t>
      </w:r>
      <w:r w:rsidR="004073BC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4073BC" w:rsidRPr="00AE306B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8C0426" w:rsidRPr="004073BC" w:rsidRDefault="008C0426" w:rsidP="008C0426">
      <w:pPr>
        <w:spacing w:after="0" w:line="240" w:lineRule="auto"/>
        <w:ind w:left="360"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4073BC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1B173B" w:rsidRPr="00562993" w:rsidRDefault="002B5D93" w:rsidP="008C0426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8C0426">
        <w:rPr>
          <w:sz w:val="28"/>
          <w:szCs w:val="28"/>
        </w:rPr>
        <w:sym w:font="Wingdings" w:char="F0FE"/>
      </w:r>
      <w:r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Т+.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Клиента.</w:t>
      </w:r>
    </w:p>
    <w:p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  <w:r w:rsidRPr="00562993">
        <w:rPr>
          <w:rFonts w:eastAsia="Times New Roman" w:cs="Times New Roman"/>
          <w:sz w:val="17"/>
          <w:szCs w:val="17"/>
          <w:lang w:eastAsia="ru-RU"/>
        </w:rPr>
        <w:t>.</w:t>
      </w:r>
    </w:p>
    <w:p w:rsidR="000905D3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  <w:r>
        <w:rPr>
          <w:rFonts w:eastAsia="Times New Roman" w:cs="Times New Roman"/>
          <w:sz w:val="17"/>
          <w:szCs w:val="17"/>
          <w:lang w:eastAsia="ru-RU"/>
        </w:rPr>
        <w:t>.</w:t>
      </w:r>
    </w:p>
    <w:p w:rsidR="000905D3" w:rsidRDefault="000905D3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lastRenderedPageBreak/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B6BF1">
        <w:rPr>
          <w:rFonts w:eastAsia="Times New Roman" w:cs="Times New Roman"/>
          <w:sz w:val="22"/>
          <w:szCs w:val="24"/>
          <w:lang w:eastAsia="ru-RU"/>
        </w:rPr>
      </w:r>
      <w:r w:rsidR="00FB6BF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bookmarkEnd w:id="0"/>
    <w:p w:rsidR="00BE6A68" w:rsidRDefault="00BE6A68"/>
    <w:sectPr w:rsidR="00BE6A68" w:rsidSect="00562993">
      <w:headerReference w:type="default" r:id="rId10"/>
      <w:footerReference w:type="default" r:id="rId11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55" w:rsidRDefault="005E0555">
      <w:pPr>
        <w:spacing w:after="0" w:line="240" w:lineRule="auto"/>
      </w:pPr>
      <w:r>
        <w:separator/>
      </w:r>
    </w:p>
  </w:endnote>
  <w:endnote w:type="continuationSeparator" w:id="0">
    <w:p w:rsidR="005E0555" w:rsidRDefault="005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9A0001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proofErr w:type="spellStart"/>
      <w:r w:rsidRPr="00B15193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  <w:p w:rsidR="00744F8D" w:rsidRPr="00AC44C7" w:rsidRDefault="00FB6BF1" w:rsidP="00AC44C7">
    <w:pPr>
      <w:pStyle w:val="a3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55" w:rsidRDefault="005E0555">
      <w:pPr>
        <w:spacing w:after="0" w:line="240" w:lineRule="auto"/>
      </w:pPr>
      <w:r>
        <w:separator/>
      </w:r>
    </w:p>
  </w:footnote>
  <w:footnote w:type="continuationSeparator" w:id="0">
    <w:p w:rsidR="005E0555" w:rsidRDefault="005E0555">
      <w:pPr>
        <w:spacing w:after="0" w:line="240" w:lineRule="auto"/>
      </w:pPr>
      <w:r>
        <w:continuationSeparator/>
      </w:r>
    </w:p>
  </w:footnote>
  <w:footnote w:id="1">
    <w:p w:rsidR="0041397F" w:rsidRDefault="0041397F" w:rsidP="0041397F">
      <w:pPr>
        <w:pStyle w:val="af1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341982">
        <w:rPr>
          <w:rStyle w:val="af3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физическим лицам, указан в пункте 1.6. Регламента.</w:t>
      </w:r>
    </w:p>
    <w:p w:rsidR="009A0001" w:rsidRPr="00341982" w:rsidRDefault="009A0001" w:rsidP="0041397F">
      <w:pPr>
        <w:pStyle w:val="af1"/>
        <w:ind w:firstLine="0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FB6B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518F6"/>
    <w:rsid w:val="00062F82"/>
    <w:rsid w:val="000905D3"/>
    <w:rsid w:val="001820F8"/>
    <w:rsid w:val="001A0BD5"/>
    <w:rsid w:val="001B173B"/>
    <w:rsid w:val="002A3E19"/>
    <w:rsid w:val="002B5D93"/>
    <w:rsid w:val="00330C62"/>
    <w:rsid w:val="00381AC4"/>
    <w:rsid w:val="003F52F6"/>
    <w:rsid w:val="004073BC"/>
    <w:rsid w:val="0041397F"/>
    <w:rsid w:val="0047515D"/>
    <w:rsid w:val="004D2692"/>
    <w:rsid w:val="00512374"/>
    <w:rsid w:val="005340EB"/>
    <w:rsid w:val="00562993"/>
    <w:rsid w:val="005E0555"/>
    <w:rsid w:val="0064394A"/>
    <w:rsid w:val="0069667B"/>
    <w:rsid w:val="006B3A3A"/>
    <w:rsid w:val="00711AC7"/>
    <w:rsid w:val="00724216"/>
    <w:rsid w:val="007B4A3C"/>
    <w:rsid w:val="00801471"/>
    <w:rsid w:val="00807148"/>
    <w:rsid w:val="00812533"/>
    <w:rsid w:val="008362CA"/>
    <w:rsid w:val="0084541D"/>
    <w:rsid w:val="008C0426"/>
    <w:rsid w:val="008E018D"/>
    <w:rsid w:val="00907DA7"/>
    <w:rsid w:val="0095415A"/>
    <w:rsid w:val="009737EF"/>
    <w:rsid w:val="009A0001"/>
    <w:rsid w:val="009D2EB2"/>
    <w:rsid w:val="00AB59F6"/>
    <w:rsid w:val="00AD5BD3"/>
    <w:rsid w:val="00B703FD"/>
    <w:rsid w:val="00B86BA6"/>
    <w:rsid w:val="00B86FFE"/>
    <w:rsid w:val="00B92B77"/>
    <w:rsid w:val="00BE6A68"/>
    <w:rsid w:val="00C27338"/>
    <w:rsid w:val="00C457CE"/>
    <w:rsid w:val="00C52195"/>
    <w:rsid w:val="00D57073"/>
    <w:rsid w:val="00E56C13"/>
    <w:rsid w:val="00EA61B1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DFA2-AFBD-4F4C-805A-CFE9702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2020-03-16T06:56:00Z</dcterms:created>
  <dcterms:modified xsi:type="dcterms:W3CDTF">2020-03-17T15:38:00Z</dcterms:modified>
</cp:coreProperties>
</file>